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1C" w:rsidRDefault="00AB281C" w:rsidP="00AB281C">
      <w:pPr>
        <w:shd w:val="clear" w:color="auto" w:fill="FFFFFF"/>
        <w:spacing w:before="100" w:beforeAutospacing="1" w:after="100" w:afterAutospacing="1" w:line="240" w:lineRule="auto"/>
        <w:outlineLvl w:val="0"/>
        <w:rPr>
          <w:rFonts w:eastAsia="Times New Roman" w:cstheme="minorHAnsi"/>
          <w:color w:val="000000"/>
          <w:kern w:val="36"/>
          <w:sz w:val="24"/>
          <w:szCs w:val="24"/>
          <w:lang w:eastAsia="fr-BE"/>
        </w:rPr>
      </w:pPr>
    </w:p>
    <w:p w:rsidR="00AB281C" w:rsidRPr="00AB281C" w:rsidRDefault="00AB281C" w:rsidP="00AB281C">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AB281C">
        <w:rPr>
          <w:rFonts w:eastAsia="Times New Roman" w:cstheme="minorHAnsi"/>
          <w:b/>
          <w:color w:val="000000"/>
          <w:kern w:val="36"/>
          <w:sz w:val="28"/>
          <w:szCs w:val="24"/>
          <w:lang w:eastAsia="fr-BE"/>
        </w:rPr>
        <w:t>BHP va investir 400 millions de dollars pour réduire ses émissions polluantes</w:t>
      </w:r>
    </w:p>
    <w:p w:rsidR="00AB281C" w:rsidRPr="00AB281C" w:rsidRDefault="00AB281C" w:rsidP="00AB281C">
      <w:pPr>
        <w:spacing w:after="0" w:line="240" w:lineRule="auto"/>
        <w:rPr>
          <w:rFonts w:eastAsia="Times New Roman" w:cstheme="minorHAnsi"/>
          <w:color w:val="000000"/>
          <w:sz w:val="24"/>
          <w:szCs w:val="24"/>
          <w:lang w:eastAsia="fr-BE"/>
        </w:rPr>
      </w:pPr>
      <w:r w:rsidRPr="00AB281C">
        <w:rPr>
          <w:rFonts w:eastAsia="Times New Roman" w:cstheme="minorHAnsi"/>
          <w:color w:val="000000"/>
          <w:sz w:val="24"/>
          <w:szCs w:val="24"/>
          <w:lang w:eastAsia="fr-BE"/>
        </w:rPr>
        <w:t>BHP, premier groupe minier mondial coté, a annonce mardi qu'il consacrerait 400 millions de dollars (358 millions d'euros) sur cinq ans à la réduction des émissions de ses propres activités et de celles générées par l'utilisation de ses ressources.</w:t>
      </w:r>
    </w:p>
    <w:p w:rsidR="00AB281C" w:rsidRPr="00AB281C" w:rsidRDefault="00AB281C" w:rsidP="00AB281C">
      <w:pPr>
        <w:shd w:val="clear" w:color="auto" w:fill="FFFFFF"/>
        <w:spacing w:before="100" w:beforeAutospacing="1" w:after="100" w:afterAutospacing="1" w:line="240" w:lineRule="auto"/>
        <w:rPr>
          <w:rFonts w:eastAsia="Times New Roman" w:cstheme="minorHAnsi"/>
          <w:color w:val="000000"/>
          <w:sz w:val="24"/>
          <w:szCs w:val="24"/>
          <w:lang w:eastAsia="fr-BE"/>
        </w:rPr>
      </w:pPr>
      <w:r w:rsidRPr="00AB281C">
        <w:rPr>
          <w:rFonts w:eastAsia="Times New Roman" w:cstheme="minorHAnsi"/>
          <w:color w:val="000000"/>
          <w:sz w:val="24"/>
          <w:szCs w:val="24"/>
          <w:lang w:eastAsia="fr-BE"/>
        </w:rPr>
        <w:t>Le géant franco-australien est le premier producteur mondial de charbon à coke, utilisé avec le minerai de fer et également exploité par BHP pour la fabrication d'acier dans un processus responsable de millions de tonnes de CO2.</w:t>
      </w:r>
    </w:p>
    <w:p w:rsidR="00AB281C" w:rsidRPr="00AB281C" w:rsidRDefault="00AB281C" w:rsidP="00AB281C">
      <w:pPr>
        <w:shd w:val="clear" w:color="auto" w:fill="FFFFFF"/>
        <w:spacing w:before="100" w:beforeAutospacing="1" w:after="100" w:afterAutospacing="1" w:line="240" w:lineRule="auto"/>
        <w:rPr>
          <w:rFonts w:eastAsia="Times New Roman" w:cstheme="minorHAnsi"/>
          <w:color w:val="000000"/>
          <w:sz w:val="24"/>
          <w:szCs w:val="24"/>
          <w:lang w:eastAsia="fr-BE"/>
        </w:rPr>
      </w:pPr>
      <w:r w:rsidRPr="00AB281C">
        <w:rPr>
          <w:rFonts w:eastAsia="Times New Roman" w:cstheme="minorHAnsi"/>
          <w:color w:val="000000"/>
          <w:sz w:val="24"/>
          <w:szCs w:val="24"/>
          <w:lang w:eastAsia="fr-BE"/>
        </w:rPr>
        <w:t>L'investissement de BHP représente environ 5% de son bénéfice ajusté de 8,93 milliards de dollars réalisé sur l'exercice fiscal clos le 30 juin 2018.</w:t>
      </w:r>
    </w:p>
    <w:p w:rsidR="00AB281C" w:rsidRPr="00AB281C" w:rsidRDefault="00AB281C" w:rsidP="00AB281C">
      <w:pPr>
        <w:shd w:val="clear" w:color="auto" w:fill="FFFFFF"/>
        <w:spacing w:before="100" w:beforeAutospacing="1" w:after="100" w:afterAutospacing="1" w:line="240" w:lineRule="auto"/>
        <w:rPr>
          <w:rFonts w:eastAsia="Times New Roman" w:cstheme="minorHAnsi"/>
          <w:color w:val="000000"/>
          <w:sz w:val="24"/>
          <w:szCs w:val="24"/>
          <w:lang w:eastAsia="fr-BE"/>
        </w:rPr>
      </w:pPr>
      <w:r w:rsidRPr="00AB281C">
        <w:rPr>
          <w:rFonts w:eastAsia="Times New Roman" w:cstheme="minorHAnsi"/>
          <w:color w:val="000000"/>
          <w:sz w:val="24"/>
          <w:szCs w:val="24"/>
          <w:lang w:eastAsia="fr-BE"/>
        </w:rPr>
        <w:t>BHP se distingue des autres acteurs du secteur minier par son objectif d'émissions nettes de zéro d'ici la seconde moitié du siècle, conformément aux objectifs de réduction des émissions de carbone de l'O</w:t>
      </w:r>
      <w:r>
        <w:rPr>
          <w:rFonts w:eastAsia="Times New Roman" w:cstheme="minorHAnsi"/>
          <w:color w:val="000000"/>
          <w:sz w:val="24"/>
          <w:szCs w:val="24"/>
          <w:lang w:eastAsia="fr-BE"/>
        </w:rPr>
        <w:t>NU</w:t>
      </w:r>
      <w:r w:rsidRPr="00AB281C">
        <w:rPr>
          <w:rFonts w:eastAsia="Times New Roman" w:cstheme="minorHAnsi"/>
          <w:color w:val="000000"/>
          <w:sz w:val="24"/>
          <w:szCs w:val="24"/>
          <w:lang w:eastAsia="fr-BE"/>
        </w:rPr>
        <w:t>.</w:t>
      </w:r>
    </w:p>
    <w:p w:rsidR="00DA5272" w:rsidRPr="00AB281C" w:rsidRDefault="00DA5272" w:rsidP="00AB281C">
      <w:pPr>
        <w:spacing w:line="240" w:lineRule="auto"/>
        <w:rPr>
          <w:rFonts w:cstheme="minorHAnsi"/>
          <w:sz w:val="24"/>
          <w:szCs w:val="24"/>
        </w:rPr>
      </w:pPr>
    </w:p>
    <w:sectPr w:rsidR="00DA5272" w:rsidRPr="00AB281C" w:rsidSect="00DA52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36FAB"/>
    <w:multiLevelType w:val="multilevel"/>
    <w:tmpl w:val="CBC8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B281C"/>
    <w:rsid w:val="00422F0D"/>
    <w:rsid w:val="00A84442"/>
    <w:rsid w:val="00AB281C"/>
    <w:rsid w:val="00DA527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72"/>
  </w:style>
  <w:style w:type="paragraph" w:styleId="Titre1">
    <w:name w:val="heading 1"/>
    <w:basedOn w:val="Normal"/>
    <w:link w:val="Titre1Car"/>
    <w:uiPriority w:val="9"/>
    <w:qFormat/>
    <w:rsid w:val="00AB2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B281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281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B281C"/>
    <w:rPr>
      <w:rFonts w:ascii="Times New Roman" w:eastAsia="Times New Roman" w:hAnsi="Times New Roman" w:cs="Times New Roman"/>
      <w:b/>
      <w:bCs/>
      <w:sz w:val="36"/>
      <w:szCs w:val="36"/>
      <w:lang w:eastAsia="fr-BE"/>
    </w:rPr>
  </w:style>
  <w:style w:type="paragraph" w:customStyle="1" w:styleId="datetime">
    <w:name w:val="datetime"/>
    <w:basedOn w:val="Normal"/>
    <w:rsid w:val="00AB281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AB281C"/>
  </w:style>
  <w:style w:type="paragraph" w:styleId="NormalWeb">
    <w:name w:val="Normal (Web)"/>
    <w:basedOn w:val="Normal"/>
    <w:uiPriority w:val="99"/>
    <w:semiHidden/>
    <w:unhideWhenUsed/>
    <w:rsid w:val="00AB281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1436245896">
      <w:bodyDiv w:val="1"/>
      <w:marLeft w:val="0"/>
      <w:marRight w:val="0"/>
      <w:marTop w:val="0"/>
      <w:marBottom w:val="0"/>
      <w:divBdr>
        <w:top w:val="none" w:sz="0" w:space="0" w:color="auto"/>
        <w:left w:val="none" w:sz="0" w:space="0" w:color="auto"/>
        <w:bottom w:val="none" w:sz="0" w:space="0" w:color="auto"/>
        <w:right w:val="none" w:sz="0" w:space="0" w:color="auto"/>
      </w:divBdr>
      <w:divsChild>
        <w:div w:id="66312013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776</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2019-07-23T12:28:00Z</dcterms:created>
  <dcterms:modified xsi:type="dcterms:W3CDTF">2019-07-23T12:28:00Z</dcterms:modified>
</cp:coreProperties>
</file>